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FB076" w14:textId="77777777" w:rsidR="00B0614C" w:rsidRDefault="00B0614C"/>
    <w:p w14:paraId="1C9C5587" w14:textId="77777777" w:rsidR="00B0614C" w:rsidRDefault="00B0614C"/>
    <w:p w14:paraId="604D39E4" w14:textId="2ED52520" w:rsidR="00A9631B" w:rsidRPr="00632A2A" w:rsidRDefault="00A9631B">
      <w:pPr>
        <w:rPr>
          <w:rFonts w:asciiTheme="majorBidi" w:hAnsiTheme="majorBidi" w:cstheme="majorBidi"/>
        </w:rPr>
      </w:pPr>
      <w:r w:rsidRPr="00632A2A">
        <w:rPr>
          <w:rFonts w:asciiTheme="majorBidi" w:hAnsiTheme="majorBidi" w:cstheme="majorBidi"/>
        </w:rPr>
        <w:t xml:space="preserve">Secondary Engagement at 12 and 24 Weeks: </w:t>
      </w:r>
      <w:r w:rsidR="00D80DC9">
        <w:rPr>
          <w:rFonts w:asciiTheme="majorBidi" w:hAnsiTheme="majorBidi" w:cstheme="majorBidi"/>
        </w:rPr>
        <w:t>Window on</w:t>
      </w:r>
      <w:r w:rsidRPr="00632A2A">
        <w:rPr>
          <w:rFonts w:asciiTheme="majorBidi" w:hAnsiTheme="majorBidi" w:cstheme="majorBidi"/>
        </w:rPr>
        <w:t xml:space="preserve"> Neuro-Cognitive Development</w:t>
      </w:r>
    </w:p>
    <w:p w14:paraId="00000001" w14:textId="65A9FC2D" w:rsidR="00634DE9" w:rsidRPr="00632A2A" w:rsidRDefault="00A9631B">
      <w:pPr>
        <w:rPr>
          <w:rFonts w:asciiTheme="majorBidi" w:hAnsiTheme="majorBidi" w:cstheme="majorBidi"/>
        </w:rPr>
      </w:pPr>
      <w:r w:rsidRPr="00632A2A">
        <w:rPr>
          <w:rFonts w:asciiTheme="majorBidi" w:hAnsiTheme="majorBidi" w:cstheme="majorBidi"/>
        </w:rPr>
        <w:t xml:space="preserve">S. </w:t>
      </w:r>
      <w:r w:rsidR="000417CE">
        <w:rPr>
          <w:rFonts w:asciiTheme="majorBidi" w:hAnsiTheme="majorBidi" w:cstheme="majorBidi"/>
        </w:rPr>
        <w:t xml:space="preserve">L. </w:t>
      </w:r>
      <w:r w:rsidR="004332C2" w:rsidRPr="00632A2A">
        <w:rPr>
          <w:rFonts w:asciiTheme="majorBidi" w:hAnsiTheme="majorBidi" w:cstheme="majorBidi"/>
        </w:rPr>
        <w:t xml:space="preserve">Gin, </w:t>
      </w:r>
      <w:r w:rsidRPr="00632A2A">
        <w:rPr>
          <w:rFonts w:asciiTheme="majorBidi" w:hAnsiTheme="majorBidi" w:cstheme="majorBidi"/>
        </w:rPr>
        <w:t xml:space="preserve">D. </w:t>
      </w:r>
      <w:r w:rsidR="004332C2" w:rsidRPr="00632A2A">
        <w:rPr>
          <w:rFonts w:asciiTheme="majorBidi" w:hAnsiTheme="majorBidi" w:cstheme="majorBidi"/>
        </w:rPr>
        <w:t xml:space="preserve">DeWald, </w:t>
      </w:r>
      <w:r w:rsidRPr="00632A2A">
        <w:rPr>
          <w:rFonts w:asciiTheme="majorBidi" w:hAnsiTheme="majorBidi" w:cstheme="majorBidi"/>
        </w:rPr>
        <w:t xml:space="preserve">D. A. </w:t>
      </w:r>
      <w:r w:rsidR="004332C2" w:rsidRPr="00632A2A">
        <w:rPr>
          <w:rFonts w:asciiTheme="majorBidi" w:hAnsiTheme="majorBidi" w:cstheme="majorBidi"/>
        </w:rPr>
        <w:t xml:space="preserve">Baldwin, </w:t>
      </w:r>
      <w:r w:rsidRPr="00632A2A">
        <w:rPr>
          <w:rFonts w:asciiTheme="majorBidi" w:hAnsiTheme="majorBidi" w:cstheme="majorBidi"/>
        </w:rPr>
        <w:t xml:space="preserve">J. </w:t>
      </w:r>
      <w:proofErr w:type="spellStart"/>
      <w:r w:rsidR="004332C2" w:rsidRPr="00632A2A">
        <w:rPr>
          <w:rFonts w:asciiTheme="majorBidi" w:hAnsiTheme="majorBidi" w:cstheme="majorBidi"/>
        </w:rPr>
        <w:t>Measelle</w:t>
      </w:r>
      <w:proofErr w:type="spellEnd"/>
      <w:r w:rsidR="004332C2" w:rsidRPr="00632A2A">
        <w:rPr>
          <w:rFonts w:asciiTheme="majorBidi" w:hAnsiTheme="majorBidi" w:cstheme="majorBidi"/>
        </w:rPr>
        <w:t xml:space="preserve">, </w:t>
      </w:r>
      <w:r w:rsidRPr="00632A2A">
        <w:rPr>
          <w:rFonts w:asciiTheme="majorBidi" w:hAnsiTheme="majorBidi" w:cstheme="majorBidi"/>
        </w:rPr>
        <w:t xml:space="preserve">E. </w:t>
      </w:r>
      <w:r w:rsidR="000417CE">
        <w:rPr>
          <w:rFonts w:asciiTheme="majorBidi" w:hAnsiTheme="majorBidi" w:cstheme="majorBidi"/>
        </w:rPr>
        <w:t xml:space="preserve">S. </w:t>
      </w:r>
      <w:r w:rsidR="004332C2" w:rsidRPr="00632A2A">
        <w:rPr>
          <w:rFonts w:asciiTheme="majorBidi" w:hAnsiTheme="majorBidi" w:cstheme="majorBidi"/>
        </w:rPr>
        <w:t xml:space="preserve">Anderson, </w:t>
      </w:r>
      <w:r w:rsidRPr="00632A2A">
        <w:rPr>
          <w:rFonts w:asciiTheme="majorBidi" w:hAnsiTheme="majorBidi" w:cstheme="majorBidi"/>
        </w:rPr>
        <w:t xml:space="preserve">S. </w:t>
      </w:r>
      <w:r w:rsidR="000417CE">
        <w:rPr>
          <w:rFonts w:asciiTheme="majorBidi" w:hAnsiTheme="majorBidi" w:cstheme="majorBidi"/>
        </w:rPr>
        <w:t xml:space="preserve">L. </w:t>
      </w:r>
      <w:r w:rsidR="004332C2" w:rsidRPr="00632A2A">
        <w:rPr>
          <w:rFonts w:asciiTheme="majorBidi" w:hAnsiTheme="majorBidi" w:cstheme="majorBidi"/>
        </w:rPr>
        <w:t xml:space="preserve">Fisher, </w:t>
      </w:r>
      <w:r w:rsidRPr="00632A2A">
        <w:rPr>
          <w:rFonts w:asciiTheme="majorBidi" w:hAnsiTheme="majorBidi" w:cstheme="majorBidi"/>
        </w:rPr>
        <w:t xml:space="preserve">N. </w:t>
      </w:r>
      <w:r w:rsidR="000417CE">
        <w:rPr>
          <w:rFonts w:asciiTheme="majorBidi" w:hAnsiTheme="majorBidi" w:cstheme="majorBidi"/>
        </w:rPr>
        <w:t xml:space="preserve">C. </w:t>
      </w:r>
      <w:proofErr w:type="spellStart"/>
      <w:r w:rsidR="004332C2" w:rsidRPr="00632A2A">
        <w:rPr>
          <w:rFonts w:asciiTheme="majorBidi" w:hAnsiTheme="majorBidi" w:cstheme="majorBidi"/>
        </w:rPr>
        <w:t>Mor</w:t>
      </w:r>
      <w:r w:rsidR="000417CE">
        <w:rPr>
          <w:rFonts w:asciiTheme="majorBidi" w:hAnsiTheme="majorBidi" w:cstheme="majorBidi"/>
        </w:rPr>
        <w:t>an</w:t>
      </w:r>
      <w:r w:rsidR="004332C2" w:rsidRPr="00632A2A">
        <w:rPr>
          <w:rFonts w:asciiTheme="majorBidi" w:hAnsiTheme="majorBidi" w:cstheme="majorBidi"/>
        </w:rPr>
        <w:t>ville</w:t>
      </w:r>
      <w:proofErr w:type="spellEnd"/>
      <w:r w:rsidR="004332C2" w:rsidRPr="00632A2A">
        <w:rPr>
          <w:rFonts w:asciiTheme="majorBidi" w:hAnsiTheme="majorBidi" w:cstheme="majorBidi"/>
        </w:rPr>
        <w:t xml:space="preserve">, </w:t>
      </w:r>
      <w:r w:rsidRPr="00632A2A">
        <w:rPr>
          <w:rFonts w:asciiTheme="majorBidi" w:hAnsiTheme="majorBidi" w:cstheme="majorBidi"/>
        </w:rPr>
        <w:t>D.</w:t>
      </w:r>
      <w:r w:rsidR="000417CE">
        <w:rPr>
          <w:rFonts w:asciiTheme="majorBidi" w:hAnsiTheme="majorBidi" w:cstheme="majorBidi"/>
        </w:rPr>
        <w:t xml:space="preserve"> D.</w:t>
      </w:r>
      <w:r w:rsidRPr="00632A2A">
        <w:rPr>
          <w:rFonts w:asciiTheme="majorBidi" w:hAnsiTheme="majorBidi" w:cstheme="majorBidi"/>
        </w:rPr>
        <w:t xml:space="preserve"> </w:t>
      </w:r>
      <w:r w:rsidR="004332C2" w:rsidRPr="00632A2A">
        <w:rPr>
          <w:rFonts w:asciiTheme="majorBidi" w:hAnsiTheme="majorBidi" w:cstheme="majorBidi"/>
        </w:rPr>
        <w:t>Nunez</w:t>
      </w:r>
      <w:r w:rsidR="000417CE">
        <w:rPr>
          <w:rFonts w:asciiTheme="majorBidi" w:hAnsiTheme="majorBidi" w:cstheme="majorBidi"/>
        </w:rPr>
        <w:t>-</w:t>
      </w:r>
      <w:r w:rsidR="004332C2" w:rsidRPr="00632A2A">
        <w:rPr>
          <w:rFonts w:asciiTheme="majorBidi" w:hAnsiTheme="majorBidi" w:cstheme="majorBidi"/>
        </w:rPr>
        <w:t xml:space="preserve">Silva, </w:t>
      </w:r>
      <w:r w:rsidRPr="00632A2A">
        <w:rPr>
          <w:rFonts w:asciiTheme="majorBidi" w:hAnsiTheme="majorBidi" w:cstheme="majorBidi"/>
        </w:rPr>
        <w:t xml:space="preserve">T. </w:t>
      </w:r>
      <w:r w:rsidR="000417CE">
        <w:rPr>
          <w:rFonts w:asciiTheme="majorBidi" w:hAnsiTheme="majorBidi" w:cstheme="majorBidi"/>
        </w:rPr>
        <w:t xml:space="preserve">N. </w:t>
      </w:r>
      <w:r w:rsidR="004332C2" w:rsidRPr="00632A2A">
        <w:rPr>
          <w:rFonts w:asciiTheme="majorBidi" w:hAnsiTheme="majorBidi" w:cstheme="majorBidi"/>
        </w:rPr>
        <w:t xml:space="preserve">Elliot, </w:t>
      </w:r>
      <w:r w:rsidR="000E63FF" w:rsidRPr="00632A2A">
        <w:rPr>
          <w:rFonts w:asciiTheme="majorBidi" w:hAnsiTheme="majorBidi" w:cstheme="majorBidi"/>
        </w:rPr>
        <w:t xml:space="preserve">H. </w:t>
      </w:r>
      <w:proofErr w:type="spellStart"/>
      <w:r w:rsidR="000E63FF" w:rsidRPr="00632A2A">
        <w:rPr>
          <w:rFonts w:asciiTheme="majorBidi" w:hAnsiTheme="majorBidi" w:cstheme="majorBidi"/>
        </w:rPr>
        <w:t>Kroeun</w:t>
      </w:r>
      <w:proofErr w:type="spellEnd"/>
      <w:r w:rsidR="000E63FF" w:rsidRPr="00632A2A">
        <w:rPr>
          <w:rFonts w:asciiTheme="majorBidi" w:hAnsiTheme="majorBidi" w:cstheme="majorBidi"/>
        </w:rPr>
        <w:t xml:space="preserve">, </w:t>
      </w:r>
      <w:r w:rsidR="00D11B58" w:rsidRPr="00632A2A">
        <w:rPr>
          <w:rFonts w:asciiTheme="majorBidi" w:hAnsiTheme="majorBidi" w:cstheme="majorBidi"/>
        </w:rPr>
        <w:t xml:space="preserve">S. </w:t>
      </w:r>
      <w:proofErr w:type="spellStart"/>
      <w:r w:rsidR="00D11B58" w:rsidRPr="00632A2A">
        <w:rPr>
          <w:rFonts w:asciiTheme="majorBidi" w:hAnsiTheme="majorBidi" w:cstheme="majorBidi"/>
        </w:rPr>
        <w:t>Prak</w:t>
      </w:r>
      <w:proofErr w:type="spellEnd"/>
      <w:r w:rsidR="000E63FF" w:rsidRPr="00632A2A">
        <w:rPr>
          <w:rFonts w:asciiTheme="majorBidi" w:hAnsiTheme="majorBidi" w:cstheme="majorBidi"/>
        </w:rPr>
        <w:t xml:space="preserve">, </w:t>
      </w:r>
      <w:r w:rsidR="004332C2" w:rsidRPr="00632A2A">
        <w:rPr>
          <w:rFonts w:asciiTheme="majorBidi" w:hAnsiTheme="majorBidi" w:cstheme="majorBidi"/>
        </w:rPr>
        <w:t xml:space="preserve">&amp; </w:t>
      </w:r>
      <w:r w:rsidRPr="00632A2A">
        <w:rPr>
          <w:rFonts w:asciiTheme="majorBidi" w:hAnsiTheme="majorBidi" w:cstheme="majorBidi"/>
        </w:rPr>
        <w:t xml:space="preserve">K. C. </w:t>
      </w:r>
      <w:r w:rsidR="004332C2" w:rsidRPr="00632A2A">
        <w:rPr>
          <w:rFonts w:asciiTheme="majorBidi" w:hAnsiTheme="majorBidi" w:cstheme="majorBidi"/>
        </w:rPr>
        <w:t>Whitfield</w:t>
      </w:r>
    </w:p>
    <w:p w14:paraId="2EF385D2" w14:textId="336403A5" w:rsidR="00A9631B" w:rsidRPr="00632A2A" w:rsidRDefault="00A9631B">
      <w:pPr>
        <w:rPr>
          <w:rFonts w:asciiTheme="majorBidi" w:hAnsiTheme="majorBidi" w:cstheme="majorBidi"/>
        </w:rPr>
      </w:pPr>
      <w:r w:rsidRPr="00632A2A">
        <w:rPr>
          <w:rFonts w:asciiTheme="majorBidi" w:hAnsiTheme="majorBidi" w:cstheme="majorBidi"/>
        </w:rPr>
        <w:t>University of Oregon</w:t>
      </w:r>
      <w:r w:rsidR="000E63FF" w:rsidRPr="00632A2A">
        <w:rPr>
          <w:rFonts w:asciiTheme="majorBidi" w:hAnsiTheme="majorBidi" w:cstheme="majorBidi"/>
        </w:rPr>
        <w:t>, Helen Keller International,</w:t>
      </w:r>
      <w:r w:rsidRPr="00632A2A">
        <w:rPr>
          <w:rFonts w:asciiTheme="majorBidi" w:hAnsiTheme="majorBidi" w:cstheme="majorBidi"/>
        </w:rPr>
        <w:t xml:space="preserve"> </w:t>
      </w:r>
      <w:r w:rsidR="000760AE" w:rsidRPr="00632A2A">
        <w:rPr>
          <w:rFonts w:asciiTheme="majorBidi" w:hAnsiTheme="majorBidi" w:cstheme="majorBidi"/>
        </w:rPr>
        <w:t xml:space="preserve">Cambodian Health Ministry, </w:t>
      </w:r>
      <w:r w:rsidRPr="00632A2A">
        <w:rPr>
          <w:rFonts w:asciiTheme="majorBidi" w:hAnsiTheme="majorBidi" w:cstheme="majorBidi"/>
        </w:rPr>
        <w:t>&amp; Mount Saint Vincent University</w:t>
      </w:r>
    </w:p>
    <w:p w14:paraId="00000002" w14:textId="77777777" w:rsidR="00634DE9" w:rsidRPr="00632A2A" w:rsidRDefault="00634DE9">
      <w:pPr>
        <w:rPr>
          <w:rFonts w:asciiTheme="majorBidi" w:hAnsiTheme="majorBidi" w:cstheme="majorBidi"/>
        </w:rPr>
      </w:pPr>
    </w:p>
    <w:p w14:paraId="73F7D9E8" w14:textId="7155C44E" w:rsidR="00A4321A" w:rsidRPr="00632A2A" w:rsidRDefault="004449DB" w:rsidP="001B67B5">
      <w:pPr>
        <w:spacing w:line="480" w:lineRule="auto"/>
        <w:ind w:firstLine="720"/>
        <w:rPr>
          <w:rFonts w:asciiTheme="majorBidi" w:hAnsiTheme="majorBidi" w:cstheme="majorBidi"/>
        </w:rPr>
      </w:pPr>
      <w:r w:rsidRPr="00632A2A">
        <w:rPr>
          <w:rFonts w:asciiTheme="majorBidi" w:hAnsiTheme="majorBidi" w:cstheme="majorBidi"/>
        </w:rPr>
        <w:t xml:space="preserve">Joint attention interactions – also known as secondary engagement – </w:t>
      </w:r>
      <w:r w:rsidR="00851939">
        <w:rPr>
          <w:rFonts w:asciiTheme="majorBidi" w:hAnsiTheme="majorBidi" w:cstheme="majorBidi"/>
        </w:rPr>
        <w:t xml:space="preserve">are </w:t>
      </w:r>
      <w:r w:rsidRPr="00632A2A">
        <w:rPr>
          <w:rFonts w:asciiTheme="majorBidi" w:hAnsiTheme="majorBidi" w:cstheme="majorBidi"/>
        </w:rPr>
        <w:t xml:space="preserve">catalysts for learning (e.g., Bruner, </w:t>
      </w:r>
      <w:r w:rsidR="00CF2C2E" w:rsidRPr="00632A2A">
        <w:rPr>
          <w:rFonts w:asciiTheme="majorBidi" w:hAnsiTheme="majorBidi" w:cstheme="majorBidi"/>
        </w:rPr>
        <w:t>1983</w:t>
      </w:r>
      <w:r w:rsidRPr="00632A2A">
        <w:rPr>
          <w:rFonts w:asciiTheme="majorBidi" w:hAnsiTheme="majorBidi" w:cstheme="majorBidi"/>
        </w:rPr>
        <w:t xml:space="preserve">; </w:t>
      </w:r>
      <w:proofErr w:type="spellStart"/>
      <w:r w:rsidRPr="00632A2A">
        <w:rPr>
          <w:rFonts w:asciiTheme="majorBidi" w:hAnsiTheme="majorBidi" w:cstheme="majorBidi"/>
        </w:rPr>
        <w:t>Tomasello</w:t>
      </w:r>
      <w:proofErr w:type="spellEnd"/>
      <w:r w:rsidRPr="00632A2A">
        <w:rPr>
          <w:rFonts w:asciiTheme="majorBidi" w:hAnsiTheme="majorBidi" w:cstheme="majorBidi"/>
        </w:rPr>
        <w:t xml:space="preserve">, 1999).  Within such interactions, learners can anchor information caregivers offer </w:t>
      </w:r>
      <w:r w:rsidR="008100F3">
        <w:rPr>
          <w:rFonts w:ascii="Times New Roman" w:hAnsi="Times New Roman" w:cs="Times New Roman"/>
        </w:rPr>
        <w:t>–</w:t>
      </w:r>
      <w:r w:rsidR="008100F3">
        <w:rPr>
          <w:rFonts w:asciiTheme="majorBidi" w:hAnsiTheme="majorBidi" w:cstheme="majorBidi"/>
        </w:rPr>
        <w:t xml:space="preserve"> </w:t>
      </w:r>
      <w:r w:rsidRPr="00632A2A">
        <w:rPr>
          <w:rFonts w:asciiTheme="majorBidi" w:hAnsiTheme="majorBidi" w:cstheme="majorBidi"/>
        </w:rPr>
        <w:t xml:space="preserve">about language, emotions, object functions, and the like – to the </w:t>
      </w:r>
      <w:r w:rsidR="002D260C" w:rsidRPr="00632A2A">
        <w:rPr>
          <w:rFonts w:asciiTheme="majorBidi" w:hAnsiTheme="majorBidi" w:cstheme="majorBidi"/>
        </w:rPr>
        <w:t>object of</w:t>
      </w:r>
      <w:r w:rsidRPr="00632A2A">
        <w:rPr>
          <w:rFonts w:asciiTheme="majorBidi" w:hAnsiTheme="majorBidi" w:cstheme="majorBidi"/>
        </w:rPr>
        <w:t xml:space="preserve"> joint focus. Given </w:t>
      </w:r>
      <w:r w:rsidR="00F061D4" w:rsidRPr="00632A2A">
        <w:rPr>
          <w:rFonts w:asciiTheme="majorBidi" w:hAnsiTheme="majorBidi" w:cstheme="majorBidi"/>
        </w:rPr>
        <w:t>the</w:t>
      </w:r>
      <w:r w:rsidRPr="00632A2A">
        <w:rPr>
          <w:rFonts w:asciiTheme="majorBidi" w:hAnsiTheme="majorBidi" w:cstheme="majorBidi"/>
        </w:rPr>
        <w:t xml:space="preserve"> power of secondary engagement for learning, and thus neuro-cognitive development, it is surprising that these interactions are rarely </w:t>
      </w:r>
      <w:r w:rsidR="002D260C" w:rsidRPr="00632A2A">
        <w:rPr>
          <w:rFonts w:asciiTheme="majorBidi" w:hAnsiTheme="majorBidi" w:cstheme="majorBidi"/>
        </w:rPr>
        <w:t>harnessed</w:t>
      </w:r>
      <w:r w:rsidRPr="00632A2A">
        <w:rPr>
          <w:rFonts w:asciiTheme="majorBidi" w:hAnsiTheme="majorBidi" w:cstheme="majorBidi"/>
        </w:rPr>
        <w:t xml:space="preserve"> for clinical assessment of neuro-cognitive development. </w:t>
      </w:r>
      <w:r w:rsidR="001B67B5" w:rsidRPr="00632A2A">
        <w:rPr>
          <w:rFonts w:asciiTheme="majorBidi" w:hAnsiTheme="majorBidi" w:cstheme="majorBidi"/>
        </w:rPr>
        <w:t>This study investigate</w:t>
      </w:r>
      <w:r w:rsidR="00F84F77" w:rsidRPr="00632A2A">
        <w:rPr>
          <w:rFonts w:asciiTheme="majorBidi" w:hAnsiTheme="majorBidi" w:cstheme="majorBidi"/>
        </w:rPr>
        <w:t>s</w:t>
      </w:r>
      <w:r w:rsidR="001B67B5" w:rsidRPr="00632A2A">
        <w:rPr>
          <w:rFonts w:asciiTheme="majorBidi" w:hAnsiTheme="majorBidi" w:cstheme="majorBidi"/>
        </w:rPr>
        <w:t xml:space="preserve"> the value of </w:t>
      </w:r>
      <w:r w:rsidR="00E3771C" w:rsidRPr="00632A2A">
        <w:rPr>
          <w:rFonts w:asciiTheme="majorBidi" w:hAnsiTheme="majorBidi" w:cstheme="majorBidi"/>
        </w:rPr>
        <w:t>a</w:t>
      </w:r>
      <w:r w:rsidR="00F061D4" w:rsidRPr="00632A2A">
        <w:rPr>
          <w:rFonts w:asciiTheme="majorBidi" w:hAnsiTheme="majorBidi" w:cstheme="majorBidi"/>
        </w:rPr>
        <w:t xml:space="preserve"> new </w:t>
      </w:r>
      <w:r w:rsidR="00E3771C" w:rsidRPr="00632A2A">
        <w:rPr>
          <w:rFonts w:asciiTheme="majorBidi" w:hAnsiTheme="majorBidi" w:cstheme="majorBidi"/>
        </w:rPr>
        <w:t>task – the Se</w:t>
      </w:r>
      <w:r w:rsidR="001B67B5" w:rsidRPr="00632A2A">
        <w:rPr>
          <w:rFonts w:asciiTheme="majorBidi" w:hAnsiTheme="majorBidi" w:cstheme="majorBidi"/>
        </w:rPr>
        <w:t xml:space="preserve">condary </w:t>
      </w:r>
      <w:r w:rsidR="00E3771C" w:rsidRPr="00632A2A">
        <w:rPr>
          <w:rFonts w:asciiTheme="majorBidi" w:hAnsiTheme="majorBidi" w:cstheme="majorBidi"/>
        </w:rPr>
        <w:t>E</w:t>
      </w:r>
      <w:r w:rsidR="001B67B5" w:rsidRPr="00632A2A">
        <w:rPr>
          <w:rFonts w:asciiTheme="majorBidi" w:hAnsiTheme="majorBidi" w:cstheme="majorBidi"/>
        </w:rPr>
        <w:t xml:space="preserve">ngagement </w:t>
      </w:r>
      <w:r w:rsidR="00E3771C" w:rsidRPr="00632A2A">
        <w:rPr>
          <w:rFonts w:asciiTheme="majorBidi" w:hAnsiTheme="majorBidi" w:cstheme="majorBidi"/>
        </w:rPr>
        <w:t>T</w:t>
      </w:r>
      <w:r w:rsidR="00F061D4" w:rsidRPr="00632A2A">
        <w:rPr>
          <w:rFonts w:asciiTheme="majorBidi" w:hAnsiTheme="majorBidi" w:cstheme="majorBidi"/>
        </w:rPr>
        <w:t xml:space="preserve">ask </w:t>
      </w:r>
      <w:r w:rsidR="00E3771C" w:rsidRPr="00632A2A">
        <w:rPr>
          <w:rFonts w:asciiTheme="majorBidi" w:hAnsiTheme="majorBidi" w:cstheme="majorBidi"/>
        </w:rPr>
        <w:t xml:space="preserve">(SET) </w:t>
      </w:r>
      <w:r w:rsidR="00424BD4">
        <w:rPr>
          <w:rFonts w:ascii="Times New Roman" w:hAnsi="Times New Roman" w:cs="Times New Roman"/>
        </w:rPr>
        <w:t>–</w:t>
      </w:r>
      <w:r w:rsidR="00424BD4">
        <w:rPr>
          <w:rFonts w:asciiTheme="majorBidi" w:hAnsiTheme="majorBidi" w:cstheme="majorBidi"/>
        </w:rPr>
        <w:t xml:space="preserve"> </w:t>
      </w:r>
      <w:r w:rsidR="001B67B5" w:rsidRPr="00632A2A">
        <w:rPr>
          <w:rFonts w:asciiTheme="majorBidi" w:hAnsiTheme="majorBidi" w:cstheme="majorBidi"/>
        </w:rPr>
        <w:t xml:space="preserve">for assessing neuro-cognitive development. </w:t>
      </w:r>
      <w:r w:rsidR="00F84F77" w:rsidRPr="00632A2A">
        <w:rPr>
          <w:rFonts w:asciiTheme="majorBidi" w:hAnsiTheme="majorBidi" w:cstheme="majorBidi"/>
        </w:rPr>
        <w:t xml:space="preserve">We report here on </w:t>
      </w:r>
      <w:r w:rsidR="00A4321A" w:rsidRPr="00632A2A">
        <w:rPr>
          <w:rFonts w:asciiTheme="majorBidi" w:hAnsiTheme="majorBidi" w:cstheme="majorBidi"/>
        </w:rPr>
        <w:t>preliminary analyses aimed at basic validation of the SET.</w:t>
      </w:r>
    </w:p>
    <w:p w14:paraId="32F044D7" w14:textId="402AB64C" w:rsidR="00A4321A" w:rsidRPr="00632A2A" w:rsidRDefault="00424BD4" w:rsidP="00A4321A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Theme="majorBidi" w:hAnsiTheme="majorBidi" w:cstheme="majorBidi"/>
        </w:rPr>
        <w:t>T</w:t>
      </w:r>
      <w:r w:rsidR="002D260C" w:rsidRPr="00632A2A">
        <w:rPr>
          <w:rFonts w:asciiTheme="majorBidi" w:hAnsiTheme="majorBidi" w:cstheme="majorBidi"/>
        </w:rPr>
        <w:t>he</w:t>
      </w:r>
      <w:r w:rsidR="001B67B5" w:rsidRPr="00632A2A">
        <w:rPr>
          <w:rFonts w:asciiTheme="majorBidi" w:hAnsiTheme="majorBidi" w:cstheme="majorBidi"/>
        </w:rPr>
        <w:t xml:space="preserve"> research </w:t>
      </w:r>
      <w:r>
        <w:rPr>
          <w:rFonts w:asciiTheme="majorBidi" w:hAnsiTheme="majorBidi" w:cstheme="majorBidi"/>
        </w:rPr>
        <w:t>was conducted as part</w:t>
      </w:r>
      <w:r w:rsidR="001B67B5" w:rsidRPr="00632A2A">
        <w:rPr>
          <w:rFonts w:asciiTheme="majorBidi" w:hAnsiTheme="majorBidi" w:cstheme="majorBidi"/>
        </w:rPr>
        <w:t xml:space="preserve"> of a double-blind, randomized, controlled trial in Cambodia examining possible benefits of maternal thiamine (vitamin B1) supplementation for breastfed infants’ </w:t>
      </w:r>
      <w:r w:rsidR="00F061D4" w:rsidRPr="00632A2A">
        <w:rPr>
          <w:rFonts w:asciiTheme="majorBidi" w:hAnsiTheme="majorBidi" w:cstheme="majorBidi"/>
        </w:rPr>
        <w:t xml:space="preserve">neuro-cognitive </w:t>
      </w:r>
      <w:r w:rsidR="001B67B5" w:rsidRPr="00632A2A">
        <w:rPr>
          <w:rFonts w:asciiTheme="majorBidi" w:hAnsiTheme="majorBidi" w:cstheme="majorBidi"/>
        </w:rPr>
        <w:t>development</w:t>
      </w:r>
      <w:r w:rsidR="00DD3912" w:rsidRPr="00632A2A">
        <w:rPr>
          <w:rFonts w:asciiTheme="majorBidi" w:hAnsiTheme="majorBidi" w:cstheme="majorBidi"/>
        </w:rPr>
        <w:t xml:space="preserve"> (</w:t>
      </w:r>
      <w:proofErr w:type="spellStart"/>
      <w:r w:rsidR="00DD3912" w:rsidRPr="00632A2A">
        <w:rPr>
          <w:rFonts w:asciiTheme="majorBidi" w:hAnsiTheme="majorBidi" w:cstheme="majorBidi"/>
        </w:rPr>
        <w:t>Measelle</w:t>
      </w:r>
      <w:proofErr w:type="spellEnd"/>
      <w:r w:rsidR="00DD3912" w:rsidRPr="00632A2A">
        <w:rPr>
          <w:rFonts w:asciiTheme="majorBidi" w:hAnsiTheme="majorBidi" w:cstheme="majorBidi"/>
        </w:rPr>
        <w:t>, et al., 2021)</w:t>
      </w:r>
      <w:r w:rsidR="001B67B5" w:rsidRPr="00632A2A">
        <w:rPr>
          <w:rFonts w:asciiTheme="majorBidi" w:hAnsiTheme="majorBidi" w:cstheme="majorBidi"/>
        </w:rPr>
        <w:t xml:space="preserve">. </w:t>
      </w:r>
      <w:r w:rsidR="00E3771C" w:rsidRPr="00632A2A">
        <w:rPr>
          <w:rFonts w:ascii="Times New Roman" w:hAnsi="Times New Roman" w:cs="Times New Roman"/>
        </w:rPr>
        <w:t>The larger clinical trial involved 335 breastfeeding mother-infant pairs</w:t>
      </w:r>
      <w:r>
        <w:rPr>
          <w:rFonts w:ascii="Times New Roman" w:hAnsi="Times New Roman" w:cs="Times New Roman"/>
        </w:rPr>
        <w:t xml:space="preserve"> receiving </w:t>
      </w:r>
      <w:r w:rsidR="002B5FBD" w:rsidRPr="00632A2A">
        <w:rPr>
          <w:rFonts w:ascii="Times New Roman" w:hAnsi="Times New Roman" w:cs="Times New Roman"/>
        </w:rPr>
        <w:t>thiamine supplementation from 2</w:t>
      </w:r>
      <w:r>
        <w:rPr>
          <w:rFonts w:ascii="Times New Roman" w:hAnsi="Times New Roman" w:cs="Times New Roman"/>
        </w:rPr>
        <w:t>-</w:t>
      </w:r>
      <w:r w:rsidR="002B5FBD" w:rsidRPr="00632A2A">
        <w:rPr>
          <w:rFonts w:ascii="Times New Roman" w:hAnsi="Times New Roman" w:cs="Times New Roman"/>
        </w:rPr>
        <w:t>24 weeks postpartum</w:t>
      </w:r>
      <w:r w:rsidR="00E3771C" w:rsidRPr="00632A2A">
        <w:rPr>
          <w:rFonts w:ascii="Times New Roman" w:hAnsi="Times New Roman" w:cs="Times New Roman"/>
        </w:rPr>
        <w:t xml:space="preserve">. </w:t>
      </w:r>
      <w:r w:rsidR="002B5FBD" w:rsidRPr="00632A2A">
        <w:rPr>
          <w:rFonts w:ascii="Times New Roman" w:hAnsi="Times New Roman" w:cs="Times New Roman"/>
        </w:rPr>
        <w:t xml:space="preserve">Dyads participated in the SET when infants were both 12 and 24 weeks old. </w:t>
      </w:r>
      <w:r w:rsidR="00A4321A" w:rsidRPr="00632A2A">
        <w:rPr>
          <w:rFonts w:ascii="Times New Roman" w:hAnsi="Times New Roman" w:cs="Times New Roman"/>
        </w:rPr>
        <w:t xml:space="preserve">We report </w:t>
      </w:r>
      <w:r>
        <w:rPr>
          <w:rFonts w:ascii="Times New Roman" w:hAnsi="Times New Roman" w:cs="Times New Roman"/>
        </w:rPr>
        <w:t xml:space="preserve">here </w:t>
      </w:r>
      <w:r w:rsidR="00A4321A" w:rsidRPr="00632A2A">
        <w:rPr>
          <w:rFonts w:ascii="Times New Roman" w:hAnsi="Times New Roman" w:cs="Times New Roman"/>
        </w:rPr>
        <w:t xml:space="preserve">on results </w:t>
      </w:r>
      <w:r>
        <w:rPr>
          <w:rFonts w:ascii="Times New Roman" w:hAnsi="Times New Roman" w:cs="Times New Roman"/>
        </w:rPr>
        <w:t>for</w:t>
      </w:r>
      <w:r w:rsidR="00A4321A" w:rsidRPr="00632A2A">
        <w:rPr>
          <w:rFonts w:ascii="Times New Roman" w:hAnsi="Times New Roman" w:cs="Times New Roman"/>
        </w:rPr>
        <w:t xml:space="preserve"> </w:t>
      </w:r>
      <w:r w:rsidR="00E3771C" w:rsidRPr="00632A2A">
        <w:rPr>
          <w:rFonts w:ascii="Times New Roman" w:hAnsi="Times New Roman" w:cs="Times New Roman"/>
        </w:rPr>
        <w:t xml:space="preserve">99 dyads.  </w:t>
      </w:r>
    </w:p>
    <w:p w14:paraId="1E4951D9" w14:textId="151AD026" w:rsidR="00E3771C" w:rsidRPr="00632A2A" w:rsidRDefault="00E3771C" w:rsidP="00736D3B">
      <w:pPr>
        <w:spacing w:line="480" w:lineRule="auto"/>
        <w:ind w:firstLine="720"/>
        <w:rPr>
          <w:rFonts w:asciiTheme="majorBidi" w:hAnsiTheme="majorBidi" w:cstheme="majorBidi"/>
        </w:rPr>
      </w:pPr>
      <w:r w:rsidRPr="00632A2A">
        <w:rPr>
          <w:rFonts w:ascii="Times New Roman" w:hAnsi="Times New Roman" w:cs="Times New Roman"/>
        </w:rPr>
        <w:t xml:space="preserve">In the SET, caregivers were asked to establish and sustain their infant’s interest in a novel object over the course of five 30-second epochs; they were </w:t>
      </w:r>
      <w:r w:rsidRPr="00632A2A">
        <w:rPr>
          <w:rFonts w:asciiTheme="majorBidi" w:hAnsiTheme="majorBidi" w:cstheme="majorBidi"/>
          <w:lang w:val="en-US"/>
        </w:rPr>
        <w:t>prompted to add and then subsequently remove cues to secondary engagement (e.g., line-of-regard, voice and gesture) as these epochs unfolded (Figure 1).</w:t>
      </w:r>
      <w:r w:rsidR="002B5FBD" w:rsidRPr="00632A2A">
        <w:rPr>
          <w:rFonts w:asciiTheme="majorBidi" w:hAnsiTheme="majorBidi" w:cstheme="majorBidi"/>
          <w:lang w:val="en-US"/>
        </w:rPr>
        <w:t xml:space="preserve"> </w:t>
      </w:r>
    </w:p>
    <w:p w14:paraId="484886F2" w14:textId="6142D4FC" w:rsidR="001F3F38" w:rsidRPr="00632A2A" w:rsidRDefault="00C91F47" w:rsidP="001F3F38">
      <w:pPr>
        <w:spacing w:line="480" w:lineRule="auto"/>
        <w:ind w:firstLine="720"/>
        <w:rPr>
          <w:rFonts w:ascii="Times New Roman" w:hAnsi="Times New Roman" w:cs="Times New Roman"/>
        </w:rPr>
      </w:pPr>
      <w:r w:rsidRPr="00632A2A">
        <w:rPr>
          <w:rFonts w:ascii="Times New Roman" w:hAnsi="Times New Roman" w:cs="Times New Roman"/>
          <w:lang w:val="en-US"/>
        </w:rPr>
        <w:t>We</w:t>
      </w:r>
      <w:r w:rsidRPr="00632A2A">
        <w:rPr>
          <w:rFonts w:ascii="Times New Roman" w:hAnsi="Times New Roman" w:cs="Times New Roman"/>
        </w:rPr>
        <w:t xml:space="preserve"> rated infants’ secondary engagement behavior via a </w:t>
      </w:r>
      <w:r w:rsidR="001F3F38" w:rsidRPr="00632A2A">
        <w:rPr>
          <w:rFonts w:ascii="Times New Roman" w:hAnsi="Times New Roman" w:cs="Times New Roman"/>
        </w:rPr>
        <w:t xml:space="preserve">1-6 </w:t>
      </w:r>
      <w:r w:rsidRPr="00632A2A">
        <w:rPr>
          <w:rFonts w:ascii="Times New Roman" w:hAnsi="Times New Roman" w:cs="Times New Roman"/>
        </w:rPr>
        <w:t xml:space="preserve">Likert scale </w:t>
      </w:r>
      <w:r w:rsidR="001F3F38" w:rsidRPr="00632A2A">
        <w:rPr>
          <w:rFonts w:ascii="Times New Roman" w:hAnsi="Times New Roman" w:cs="Times New Roman"/>
        </w:rPr>
        <w:t xml:space="preserve">adapted from </w:t>
      </w:r>
      <w:proofErr w:type="spellStart"/>
      <w:r w:rsidR="001F3F38" w:rsidRPr="00632A2A">
        <w:rPr>
          <w:rFonts w:ascii="Times New Roman" w:hAnsi="Times New Roman" w:cs="Times New Roman"/>
        </w:rPr>
        <w:t>Bakeman</w:t>
      </w:r>
      <w:proofErr w:type="spellEnd"/>
      <w:r w:rsidR="001F3F38" w:rsidRPr="00632A2A">
        <w:rPr>
          <w:rFonts w:ascii="Times New Roman" w:hAnsi="Times New Roman" w:cs="Times New Roman"/>
        </w:rPr>
        <w:t xml:space="preserve"> and Adamson’s (</w:t>
      </w:r>
      <w:r w:rsidR="006074DC" w:rsidRPr="00632A2A">
        <w:rPr>
          <w:rFonts w:ascii="Times New Roman" w:hAnsi="Times New Roman" w:cs="Times New Roman"/>
        </w:rPr>
        <w:t>1984</w:t>
      </w:r>
      <w:r w:rsidR="001F3F38" w:rsidRPr="00632A2A">
        <w:rPr>
          <w:rFonts w:ascii="Times New Roman" w:hAnsi="Times New Roman" w:cs="Times New Roman"/>
        </w:rPr>
        <w:t>) classic investigation into early joint engagement skills</w:t>
      </w:r>
      <w:r w:rsidR="00A4321A" w:rsidRPr="00632A2A">
        <w:rPr>
          <w:rFonts w:ascii="Times New Roman" w:hAnsi="Times New Roman" w:cs="Times New Roman"/>
        </w:rPr>
        <w:t xml:space="preserve"> (e.g., 1 = no engagement with either object or mother; 3 = engagement with one or the other but not both; 6 = clear signs of conscious joint engagement with both mother and object). </w:t>
      </w:r>
      <w:r w:rsidR="001F3F38" w:rsidRPr="00632A2A">
        <w:rPr>
          <w:rFonts w:ascii="Times New Roman" w:hAnsi="Times New Roman" w:cs="Times New Roman"/>
        </w:rPr>
        <w:t xml:space="preserve">We predicted that secondary engagement </w:t>
      </w:r>
      <w:r w:rsidR="001F3F38" w:rsidRPr="00632A2A">
        <w:rPr>
          <w:rFonts w:ascii="Times New Roman" w:hAnsi="Times New Roman" w:cs="Times New Roman"/>
        </w:rPr>
        <w:lastRenderedPageBreak/>
        <w:t xml:space="preserve">ratings would </w:t>
      </w:r>
      <w:r w:rsidR="005C6024" w:rsidRPr="00632A2A">
        <w:rPr>
          <w:rFonts w:ascii="Times New Roman" w:hAnsi="Times New Roman" w:cs="Times New Roman"/>
        </w:rPr>
        <w:t xml:space="preserve">a) </w:t>
      </w:r>
      <w:r w:rsidR="001F3F38" w:rsidRPr="00632A2A">
        <w:rPr>
          <w:rFonts w:ascii="Times New Roman" w:hAnsi="Times New Roman" w:cs="Times New Roman"/>
        </w:rPr>
        <w:t>display a quadratic pattern over the course of the SET as mothers first added and then removed cues to secondary engagement across epochs</w:t>
      </w:r>
      <w:r w:rsidR="005C6024" w:rsidRPr="00632A2A">
        <w:rPr>
          <w:rFonts w:ascii="Times New Roman" w:hAnsi="Times New Roman" w:cs="Times New Roman"/>
        </w:rPr>
        <w:t xml:space="preserve">, and b) increase </w:t>
      </w:r>
      <w:r w:rsidR="00A4321A" w:rsidRPr="00632A2A">
        <w:rPr>
          <w:rFonts w:ascii="Times New Roman" w:hAnsi="Times New Roman" w:cs="Times New Roman"/>
        </w:rPr>
        <w:t>from 12- to</w:t>
      </w:r>
      <w:r w:rsidR="006074DC" w:rsidRPr="00632A2A">
        <w:rPr>
          <w:rFonts w:ascii="Times New Roman" w:hAnsi="Times New Roman" w:cs="Times New Roman"/>
        </w:rPr>
        <w:t xml:space="preserve"> 24</w:t>
      </w:r>
      <w:r w:rsidR="00A4321A" w:rsidRPr="00632A2A">
        <w:rPr>
          <w:rFonts w:ascii="Times New Roman" w:hAnsi="Times New Roman" w:cs="Times New Roman"/>
        </w:rPr>
        <w:t>-</w:t>
      </w:r>
      <w:r w:rsidR="006074DC" w:rsidRPr="00632A2A">
        <w:rPr>
          <w:rFonts w:ascii="Times New Roman" w:hAnsi="Times New Roman" w:cs="Times New Roman"/>
        </w:rPr>
        <w:t>week timepoint</w:t>
      </w:r>
      <w:r w:rsidR="00A4321A" w:rsidRPr="00632A2A">
        <w:rPr>
          <w:rFonts w:ascii="Times New Roman" w:hAnsi="Times New Roman" w:cs="Times New Roman"/>
        </w:rPr>
        <w:t>s</w:t>
      </w:r>
      <w:r w:rsidR="006074DC" w:rsidRPr="00632A2A">
        <w:rPr>
          <w:rFonts w:ascii="Times New Roman" w:hAnsi="Times New Roman" w:cs="Times New Roman"/>
        </w:rPr>
        <w:t>.</w:t>
      </w:r>
    </w:p>
    <w:p w14:paraId="26CB77AF" w14:textId="74AFDF57" w:rsidR="00A4321A" w:rsidRPr="00632A2A" w:rsidRDefault="00632A2A" w:rsidP="00A4321A">
      <w:pPr>
        <w:spacing w:line="480" w:lineRule="auto"/>
        <w:ind w:firstLine="720"/>
        <w:rPr>
          <w:rFonts w:ascii="Times New Roman" w:hAnsi="Times New Roman" w:cs="Times New Roman"/>
        </w:rPr>
      </w:pPr>
      <w:r w:rsidRPr="00632A2A">
        <w:rPr>
          <w:rFonts w:ascii="Times New Roman" w:hAnsi="Times New Roman" w:cs="Times New Roman"/>
        </w:rPr>
        <w:t>Preliminary a</w:t>
      </w:r>
      <w:r w:rsidR="00A4321A" w:rsidRPr="00632A2A">
        <w:rPr>
          <w:rFonts w:ascii="Times New Roman" w:hAnsi="Times New Roman" w:cs="Times New Roman"/>
        </w:rPr>
        <w:t xml:space="preserve">nalyses confirmed both predictions, revealing </w:t>
      </w:r>
      <w:r w:rsidR="006F4782" w:rsidRPr="00632A2A">
        <w:rPr>
          <w:rFonts w:ascii="Times New Roman" w:hAnsi="Times New Roman" w:cs="Times New Roman"/>
        </w:rPr>
        <w:t xml:space="preserve">a </w:t>
      </w:r>
      <w:r w:rsidR="00A4321A" w:rsidRPr="00632A2A">
        <w:rPr>
          <w:rFonts w:ascii="Times New Roman" w:hAnsi="Times New Roman" w:cs="Times New Roman"/>
        </w:rPr>
        <w:t xml:space="preserve">significant </w:t>
      </w:r>
      <w:r w:rsidR="006F4782" w:rsidRPr="00632A2A">
        <w:rPr>
          <w:rFonts w:ascii="Times New Roman" w:hAnsi="Times New Roman" w:cs="Times New Roman"/>
        </w:rPr>
        <w:t xml:space="preserve">quadratic trend across </w:t>
      </w:r>
      <w:r w:rsidR="00A4321A" w:rsidRPr="00632A2A">
        <w:rPr>
          <w:rFonts w:ascii="Times New Roman" w:hAnsi="Times New Roman" w:cs="Times New Roman"/>
        </w:rPr>
        <w:t>epoch</w:t>
      </w:r>
      <w:r w:rsidR="006F4782" w:rsidRPr="00632A2A">
        <w:rPr>
          <w:rFonts w:ascii="Times New Roman" w:hAnsi="Times New Roman" w:cs="Times New Roman"/>
        </w:rPr>
        <w:t>s</w:t>
      </w:r>
      <w:r w:rsidR="00A4321A" w:rsidRPr="00632A2A">
        <w:rPr>
          <w:rFonts w:ascii="Times New Roman" w:hAnsi="Times New Roman" w:cs="Times New Roman"/>
        </w:rPr>
        <w:t xml:space="preserve">, </w:t>
      </w:r>
      <w:proofErr w:type="gramStart"/>
      <w:r w:rsidR="00A4321A" w:rsidRPr="00632A2A">
        <w:rPr>
          <w:rFonts w:ascii="Times New Roman" w:hAnsi="Times New Roman" w:cs="Times New Roman"/>
          <w:i/>
          <w:iCs/>
        </w:rPr>
        <w:t>F</w:t>
      </w:r>
      <w:r w:rsidR="00A4321A" w:rsidRPr="00632A2A">
        <w:rPr>
          <w:rFonts w:ascii="Times New Roman" w:hAnsi="Times New Roman" w:cs="Times New Roman"/>
        </w:rPr>
        <w:t>(</w:t>
      </w:r>
      <w:proofErr w:type="gramEnd"/>
      <w:r w:rsidR="002E75A9" w:rsidRPr="00632A2A">
        <w:rPr>
          <w:rFonts w:ascii="Times New Roman" w:hAnsi="Times New Roman" w:cs="Times New Roman"/>
        </w:rPr>
        <w:t>1</w:t>
      </w:r>
      <w:r w:rsidR="00A4321A" w:rsidRPr="00632A2A">
        <w:rPr>
          <w:rFonts w:ascii="Times New Roman" w:hAnsi="Times New Roman" w:cs="Times New Roman"/>
        </w:rPr>
        <w:t>,</w:t>
      </w:r>
      <w:r w:rsidR="002E75A9" w:rsidRPr="00632A2A">
        <w:rPr>
          <w:rFonts w:ascii="Times New Roman" w:hAnsi="Times New Roman" w:cs="Times New Roman"/>
        </w:rPr>
        <w:t>98</w:t>
      </w:r>
      <w:r w:rsidR="00A4321A" w:rsidRPr="00632A2A">
        <w:rPr>
          <w:rFonts w:ascii="Times New Roman" w:hAnsi="Times New Roman" w:cs="Times New Roman"/>
        </w:rPr>
        <w:t xml:space="preserve">) = </w:t>
      </w:r>
      <w:r w:rsidR="009A7A18" w:rsidRPr="00632A2A">
        <w:rPr>
          <w:rFonts w:ascii="Times New Roman" w:hAnsi="Times New Roman" w:cs="Times New Roman"/>
        </w:rPr>
        <w:t>103.0</w:t>
      </w:r>
      <w:r w:rsidR="00A4321A" w:rsidRPr="00632A2A">
        <w:rPr>
          <w:rFonts w:ascii="Times New Roman" w:hAnsi="Times New Roman" w:cs="Times New Roman"/>
        </w:rPr>
        <w:t xml:space="preserve">, </w:t>
      </w:r>
      <w:r w:rsidR="00A4321A" w:rsidRPr="00632A2A">
        <w:rPr>
          <w:rFonts w:ascii="Times New Roman" w:hAnsi="Times New Roman" w:cs="Times New Roman"/>
          <w:i/>
          <w:iCs/>
        </w:rPr>
        <w:t>p</w:t>
      </w:r>
      <w:r w:rsidR="00A4321A" w:rsidRPr="00632A2A">
        <w:rPr>
          <w:rFonts w:ascii="Times New Roman" w:hAnsi="Times New Roman" w:cs="Times New Roman"/>
        </w:rPr>
        <w:t xml:space="preserve"> = </w:t>
      </w:r>
      <w:r w:rsidR="002E75A9" w:rsidRPr="00632A2A">
        <w:rPr>
          <w:rFonts w:ascii="Times New Roman" w:hAnsi="Times New Roman" w:cs="Times New Roman"/>
        </w:rPr>
        <w:t>.000</w:t>
      </w:r>
      <w:r w:rsidR="00A4321A" w:rsidRPr="00632A2A">
        <w:rPr>
          <w:rFonts w:ascii="Times New Roman" w:hAnsi="Times New Roman" w:cs="Times New Roman"/>
        </w:rPr>
        <w:t xml:space="preserve">, and </w:t>
      </w:r>
      <w:r w:rsidR="006F4782" w:rsidRPr="00632A2A">
        <w:rPr>
          <w:rFonts w:ascii="Times New Roman" w:hAnsi="Times New Roman" w:cs="Times New Roman"/>
        </w:rPr>
        <w:t xml:space="preserve">a significant main effect of </w:t>
      </w:r>
      <w:r w:rsidR="00A4321A" w:rsidRPr="00632A2A">
        <w:rPr>
          <w:rFonts w:ascii="Times New Roman" w:hAnsi="Times New Roman" w:cs="Times New Roman"/>
        </w:rPr>
        <w:t xml:space="preserve">timepoint, </w:t>
      </w:r>
      <w:r w:rsidR="00A4321A" w:rsidRPr="00632A2A">
        <w:rPr>
          <w:rFonts w:ascii="Times New Roman" w:hAnsi="Times New Roman" w:cs="Times New Roman"/>
          <w:i/>
          <w:iCs/>
        </w:rPr>
        <w:t>F</w:t>
      </w:r>
      <w:r w:rsidR="00A4321A" w:rsidRPr="00632A2A">
        <w:rPr>
          <w:rFonts w:ascii="Times New Roman" w:hAnsi="Times New Roman" w:cs="Times New Roman"/>
        </w:rPr>
        <w:t>(</w:t>
      </w:r>
      <w:r w:rsidR="00B67A5B" w:rsidRPr="00632A2A">
        <w:rPr>
          <w:rFonts w:ascii="Times New Roman" w:hAnsi="Times New Roman" w:cs="Times New Roman"/>
        </w:rPr>
        <w:t>1,98</w:t>
      </w:r>
      <w:r w:rsidR="00A4321A" w:rsidRPr="00632A2A">
        <w:rPr>
          <w:rFonts w:ascii="Times New Roman" w:hAnsi="Times New Roman" w:cs="Times New Roman"/>
        </w:rPr>
        <w:t xml:space="preserve">) = </w:t>
      </w:r>
      <w:r w:rsidR="00B67A5B" w:rsidRPr="00632A2A">
        <w:rPr>
          <w:rFonts w:ascii="Times New Roman" w:hAnsi="Times New Roman" w:cs="Times New Roman"/>
        </w:rPr>
        <w:t>129.0</w:t>
      </w:r>
      <w:r w:rsidR="00A4321A" w:rsidRPr="00632A2A">
        <w:rPr>
          <w:rFonts w:ascii="Times New Roman" w:hAnsi="Times New Roman" w:cs="Times New Roman"/>
        </w:rPr>
        <w:t xml:space="preserve">, </w:t>
      </w:r>
      <w:r w:rsidR="00A4321A" w:rsidRPr="00632A2A">
        <w:rPr>
          <w:rFonts w:ascii="Times New Roman" w:hAnsi="Times New Roman" w:cs="Times New Roman"/>
          <w:i/>
          <w:iCs/>
        </w:rPr>
        <w:t>p</w:t>
      </w:r>
      <w:r w:rsidR="00A4321A" w:rsidRPr="00632A2A">
        <w:rPr>
          <w:rFonts w:ascii="Times New Roman" w:hAnsi="Times New Roman" w:cs="Times New Roman"/>
        </w:rPr>
        <w:t xml:space="preserve"> = </w:t>
      </w:r>
      <w:r w:rsidR="00B67A5B" w:rsidRPr="00632A2A">
        <w:rPr>
          <w:rFonts w:ascii="Times New Roman" w:hAnsi="Times New Roman" w:cs="Times New Roman"/>
        </w:rPr>
        <w:t>.000</w:t>
      </w:r>
      <w:r w:rsidR="009A7A18" w:rsidRPr="00632A2A">
        <w:rPr>
          <w:rFonts w:ascii="Times New Roman" w:hAnsi="Times New Roman" w:cs="Times New Roman"/>
        </w:rPr>
        <w:t xml:space="preserve"> (Figure 2)</w:t>
      </w:r>
      <w:r w:rsidR="00A4321A" w:rsidRPr="00632A2A">
        <w:rPr>
          <w:rFonts w:ascii="Times New Roman" w:hAnsi="Times New Roman" w:cs="Times New Roman"/>
        </w:rPr>
        <w:t xml:space="preserve">. </w:t>
      </w:r>
      <w:r w:rsidR="009A7A18" w:rsidRPr="00632A2A">
        <w:rPr>
          <w:rFonts w:ascii="Times New Roman" w:hAnsi="Times New Roman" w:cs="Times New Roman"/>
        </w:rPr>
        <w:t>A</w:t>
      </w:r>
      <w:r w:rsidR="006F4782" w:rsidRPr="00632A2A">
        <w:rPr>
          <w:rFonts w:ascii="Times New Roman" w:hAnsi="Times New Roman" w:cs="Times New Roman"/>
        </w:rPr>
        <w:t xml:space="preserve"> significant epoch X timepoint interaction also emerged</w:t>
      </w:r>
      <w:r w:rsidR="00D61021" w:rsidRPr="00632A2A">
        <w:rPr>
          <w:rFonts w:ascii="Times New Roman" w:hAnsi="Times New Roman" w:cs="Times New Roman"/>
        </w:rPr>
        <w:t xml:space="preserve">, </w:t>
      </w:r>
      <w:proofErr w:type="gramStart"/>
      <w:r w:rsidR="00087905" w:rsidRPr="00632A2A">
        <w:rPr>
          <w:rFonts w:ascii="Times New Roman" w:hAnsi="Times New Roman" w:cs="Times New Roman"/>
          <w:i/>
          <w:iCs/>
        </w:rPr>
        <w:t>F</w:t>
      </w:r>
      <w:r w:rsidR="00087905" w:rsidRPr="00632A2A">
        <w:rPr>
          <w:rFonts w:ascii="Times New Roman" w:hAnsi="Times New Roman" w:cs="Times New Roman"/>
        </w:rPr>
        <w:t>(</w:t>
      </w:r>
      <w:proofErr w:type="gramEnd"/>
      <w:r w:rsidR="009A7A18" w:rsidRPr="00632A2A">
        <w:rPr>
          <w:rFonts w:ascii="Times New Roman" w:hAnsi="Times New Roman" w:cs="Times New Roman"/>
        </w:rPr>
        <w:t>4</w:t>
      </w:r>
      <w:r w:rsidR="00087905" w:rsidRPr="00632A2A">
        <w:rPr>
          <w:rFonts w:ascii="Times New Roman" w:hAnsi="Times New Roman" w:cs="Times New Roman"/>
        </w:rPr>
        <w:t>,</w:t>
      </w:r>
      <w:r w:rsidR="009A7A18" w:rsidRPr="00632A2A">
        <w:rPr>
          <w:rFonts w:ascii="Times New Roman" w:hAnsi="Times New Roman" w:cs="Times New Roman"/>
        </w:rPr>
        <w:t>392</w:t>
      </w:r>
      <w:r w:rsidR="00087905" w:rsidRPr="00632A2A">
        <w:rPr>
          <w:rFonts w:ascii="Times New Roman" w:hAnsi="Times New Roman" w:cs="Times New Roman"/>
        </w:rPr>
        <w:t xml:space="preserve">) = </w:t>
      </w:r>
      <w:r w:rsidR="009A7A18" w:rsidRPr="00632A2A">
        <w:rPr>
          <w:rFonts w:ascii="Times New Roman" w:hAnsi="Times New Roman" w:cs="Times New Roman"/>
        </w:rPr>
        <w:t>3.02</w:t>
      </w:r>
      <w:r w:rsidR="00087905" w:rsidRPr="00632A2A">
        <w:rPr>
          <w:rFonts w:ascii="Times New Roman" w:hAnsi="Times New Roman" w:cs="Times New Roman"/>
        </w:rPr>
        <w:t xml:space="preserve">, </w:t>
      </w:r>
      <w:r w:rsidR="00087905" w:rsidRPr="00632A2A">
        <w:rPr>
          <w:rFonts w:ascii="Times New Roman" w:hAnsi="Times New Roman" w:cs="Times New Roman"/>
          <w:i/>
          <w:iCs/>
        </w:rPr>
        <w:t>p</w:t>
      </w:r>
      <w:r w:rsidR="00087905" w:rsidRPr="00632A2A">
        <w:rPr>
          <w:rFonts w:ascii="Times New Roman" w:hAnsi="Times New Roman" w:cs="Times New Roman"/>
        </w:rPr>
        <w:t xml:space="preserve"> = </w:t>
      </w:r>
      <w:r w:rsidR="009A7A18" w:rsidRPr="00632A2A">
        <w:rPr>
          <w:rFonts w:ascii="Times New Roman" w:hAnsi="Times New Roman" w:cs="Times New Roman"/>
        </w:rPr>
        <w:t>.018</w:t>
      </w:r>
      <w:r w:rsidR="00087905" w:rsidRPr="00632A2A">
        <w:rPr>
          <w:rFonts w:ascii="Times New Roman" w:hAnsi="Times New Roman" w:cs="Times New Roman"/>
        </w:rPr>
        <w:t xml:space="preserve">, </w:t>
      </w:r>
      <w:r w:rsidR="009A7A18" w:rsidRPr="00632A2A">
        <w:rPr>
          <w:rFonts w:ascii="Times New Roman" w:hAnsi="Times New Roman" w:cs="Times New Roman"/>
        </w:rPr>
        <w:t>with a linear decline in rating</w:t>
      </w:r>
      <w:r w:rsidRPr="00632A2A">
        <w:rPr>
          <w:rFonts w:ascii="Times New Roman" w:hAnsi="Times New Roman" w:cs="Times New Roman"/>
        </w:rPr>
        <w:t>s</w:t>
      </w:r>
      <w:r w:rsidR="009A7A18" w:rsidRPr="00632A2A">
        <w:rPr>
          <w:rFonts w:ascii="Times New Roman" w:hAnsi="Times New Roman" w:cs="Times New Roman"/>
        </w:rPr>
        <w:t xml:space="preserve"> across epochs apparent at 12 weeks disappearing at 24 weeks. </w:t>
      </w:r>
    </w:p>
    <w:p w14:paraId="4E66874F" w14:textId="780320F9" w:rsidR="00C91F47" w:rsidRDefault="00BC2FE4" w:rsidP="008535C5">
      <w:pPr>
        <w:spacing w:line="480" w:lineRule="auto"/>
        <w:ind w:firstLine="720"/>
        <w:rPr>
          <w:rFonts w:ascii="Times New Roman" w:hAnsi="Times New Roman" w:cs="Times New Roman"/>
        </w:rPr>
      </w:pPr>
      <w:r w:rsidRPr="00632A2A">
        <w:rPr>
          <w:rFonts w:ascii="Times New Roman" w:hAnsi="Times New Roman" w:cs="Times New Roman"/>
        </w:rPr>
        <w:t xml:space="preserve">Together, these findings offer initial validation </w:t>
      </w:r>
      <w:r w:rsidR="00632A2A" w:rsidRPr="00632A2A">
        <w:rPr>
          <w:rFonts w:ascii="Times New Roman" w:hAnsi="Times New Roman" w:cs="Times New Roman"/>
        </w:rPr>
        <w:t>of</w:t>
      </w:r>
      <w:r w:rsidRPr="00632A2A">
        <w:rPr>
          <w:rFonts w:ascii="Times New Roman" w:hAnsi="Times New Roman" w:cs="Times New Roman"/>
        </w:rPr>
        <w:t xml:space="preserve"> the SET for measuring infants’ involvement in secondary engagement at 12 and 24 weeks. As Cambodian mothers </w:t>
      </w:r>
      <w:r w:rsidR="002D260C" w:rsidRPr="00632A2A">
        <w:rPr>
          <w:rFonts w:ascii="Times New Roman" w:hAnsi="Times New Roman" w:cs="Times New Roman"/>
        </w:rPr>
        <w:t xml:space="preserve">increased </w:t>
      </w:r>
      <w:r w:rsidRPr="00632A2A">
        <w:rPr>
          <w:rFonts w:ascii="Times New Roman" w:hAnsi="Times New Roman" w:cs="Times New Roman"/>
        </w:rPr>
        <w:t xml:space="preserve">and then </w:t>
      </w:r>
      <w:r w:rsidR="002D260C" w:rsidRPr="00632A2A">
        <w:rPr>
          <w:rFonts w:ascii="Times New Roman" w:hAnsi="Times New Roman" w:cs="Times New Roman"/>
        </w:rPr>
        <w:t>decreased</w:t>
      </w:r>
      <w:r w:rsidRPr="00632A2A">
        <w:rPr>
          <w:rFonts w:ascii="Times New Roman" w:hAnsi="Times New Roman" w:cs="Times New Roman"/>
        </w:rPr>
        <w:t xml:space="preserve"> their efforts to engage infants jointly with a novel object, infants responded with parallel changes in their attention on </w:t>
      </w:r>
      <w:r w:rsidR="008535C5" w:rsidRPr="00632A2A">
        <w:rPr>
          <w:rFonts w:ascii="Times New Roman" w:hAnsi="Times New Roman" w:cs="Times New Roman"/>
        </w:rPr>
        <w:t>a</w:t>
      </w:r>
      <w:r w:rsidRPr="00632A2A">
        <w:rPr>
          <w:rFonts w:ascii="Times New Roman" w:hAnsi="Times New Roman" w:cs="Times New Roman"/>
        </w:rPr>
        <w:t xml:space="preserve"> joint engagement</w:t>
      </w:r>
      <w:r w:rsidR="008535C5" w:rsidRPr="00632A2A">
        <w:rPr>
          <w:rFonts w:ascii="Times New Roman" w:hAnsi="Times New Roman" w:cs="Times New Roman"/>
        </w:rPr>
        <w:t xml:space="preserve"> scale. When the full dataset is available, </w:t>
      </w:r>
      <w:r w:rsidR="00C91F47" w:rsidRPr="00632A2A">
        <w:rPr>
          <w:rFonts w:ascii="Times New Roman" w:hAnsi="Times New Roman" w:cs="Times New Roman"/>
        </w:rPr>
        <w:t xml:space="preserve">analyses will examine </w:t>
      </w:r>
      <w:r w:rsidR="008535C5" w:rsidRPr="00632A2A">
        <w:rPr>
          <w:rFonts w:ascii="Times New Roman" w:hAnsi="Times New Roman" w:cs="Times New Roman"/>
        </w:rPr>
        <w:t>relations between mothers’ and infants’ behavior in the SET, as well as</w:t>
      </w:r>
      <w:r w:rsidR="00C91F47" w:rsidRPr="00632A2A">
        <w:rPr>
          <w:rFonts w:ascii="Times New Roman" w:hAnsi="Times New Roman" w:cs="Times New Roman"/>
        </w:rPr>
        <w:t xml:space="preserve"> the degree to which infants’ responsiveness was associated with other aspects of their neuro-cognitive development. Also of interest will be the extent to which maternal thiamine supplementation influenced </w:t>
      </w:r>
      <w:r w:rsidR="008535C5" w:rsidRPr="00632A2A">
        <w:rPr>
          <w:rFonts w:ascii="Times New Roman" w:hAnsi="Times New Roman" w:cs="Times New Roman"/>
        </w:rPr>
        <w:t>infants’ involvement in secondary engagement.</w:t>
      </w:r>
      <w:r w:rsidR="002D260C" w:rsidRPr="00632A2A">
        <w:rPr>
          <w:rFonts w:ascii="Times New Roman" w:hAnsi="Times New Roman" w:cs="Times New Roman"/>
        </w:rPr>
        <w:t xml:space="preserve"> Collectively, such f</w:t>
      </w:r>
      <w:r w:rsidR="00C91F47" w:rsidRPr="00632A2A">
        <w:rPr>
          <w:rFonts w:ascii="Times New Roman" w:hAnsi="Times New Roman" w:cs="Times New Roman"/>
        </w:rPr>
        <w:t xml:space="preserve">indings hold potential to document </w:t>
      </w:r>
      <w:r w:rsidR="002D260C" w:rsidRPr="00632A2A">
        <w:rPr>
          <w:rFonts w:ascii="Times New Roman" w:hAnsi="Times New Roman" w:cs="Times New Roman"/>
        </w:rPr>
        <w:t>the SET</w:t>
      </w:r>
      <w:r w:rsidR="00C91F47" w:rsidRPr="00632A2A">
        <w:rPr>
          <w:rFonts w:ascii="Times New Roman" w:hAnsi="Times New Roman" w:cs="Times New Roman"/>
        </w:rPr>
        <w:t xml:space="preserve"> as an innovative </w:t>
      </w:r>
      <w:r w:rsidR="002D260C" w:rsidRPr="00632A2A">
        <w:rPr>
          <w:rFonts w:ascii="Times New Roman" w:hAnsi="Times New Roman" w:cs="Times New Roman"/>
        </w:rPr>
        <w:t>instrument</w:t>
      </w:r>
      <w:r w:rsidR="00C91F47" w:rsidRPr="00632A2A">
        <w:rPr>
          <w:rFonts w:ascii="Times New Roman" w:hAnsi="Times New Roman" w:cs="Times New Roman"/>
        </w:rPr>
        <w:t xml:space="preserve"> for assessing early neuro-cognitive development.</w:t>
      </w:r>
    </w:p>
    <w:p w14:paraId="2B14ECEA" w14:textId="77777777" w:rsidR="00944831" w:rsidRDefault="00944831" w:rsidP="008535C5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6A5B942A" w14:textId="504BACA6" w:rsidR="00881D7E" w:rsidRPr="00632A2A" w:rsidRDefault="00881D7E" w:rsidP="00881D7E">
      <w:pPr>
        <w:spacing w:line="480" w:lineRule="auto"/>
        <w:rPr>
          <w:rFonts w:ascii="Times New Roman" w:hAnsi="Times New Roman" w:cs="Times New Roman"/>
        </w:rPr>
      </w:pPr>
      <w:r w:rsidRPr="00881D7E">
        <w:rPr>
          <w:rFonts w:ascii="Times New Roman" w:hAnsi="Times New Roman" w:cs="Times New Roman"/>
          <w:noProof/>
        </w:rPr>
        <w:drawing>
          <wp:inline distT="0" distB="0" distL="0" distR="0" wp14:anchorId="022B394B" wp14:editId="315A33B3">
            <wp:extent cx="5943600" cy="2090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ED3E" w14:textId="667C48AD" w:rsidR="00881D7E" w:rsidRDefault="00881D7E" w:rsidP="00881D7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1. Structure of the Secondary Engagement task as five 30-second epochs unfolded across time.</w:t>
      </w:r>
    </w:p>
    <w:p w14:paraId="01F886FB" w14:textId="0C88D294" w:rsidR="00881D7E" w:rsidRDefault="00944831" w:rsidP="0094483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32B8AA" wp14:editId="2EE3E48A">
            <wp:extent cx="5943600" cy="4041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12-12 at 6.14.20 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D7E">
        <w:rPr>
          <w:rFonts w:ascii="Times New Roman" w:hAnsi="Times New Roman" w:cs="Times New Roman"/>
        </w:rPr>
        <w:t xml:space="preserve">Figure 2. </w:t>
      </w:r>
      <w:r>
        <w:rPr>
          <w:rFonts w:ascii="Times New Roman" w:hAnsi="Times New Roman" w:cs="Times New Roman"/>
        </w:rPr>
        <w:t>Mean ratings on the secondary engagement scale across epochs at both 12 and 24 weeks. Error bars depict +/- 1 standard error of the mean.</w:t>
      </w:r>
    </w:p>
    <w:p w14:paraId="4E61BE89" w14:textId="77777777" w:rsidR="00C91F47" w:rsidRPr="00632A2A" w:rsidRDefault="00C91F47" w:rsidP="00C91F47"/>
    <w:p w14:paraId="0DFEB308" w14:textId="5CDCD0F6" w:rsidR="00FA116B" w:rsidRPr="00632A2A" w:rsidRDefault="00FA116B">
      <w:pPr>
        <w:rPr>
          <w:rFonts w:asciiTheme="majorBidi" w:hAnsiTheme="majorBidi" w:cstheme="majorBidi"/>
        </w:rPr>
      </w:pPr>
    </w:p>
    <w:p w14:paraId="5A7567C2" w14:textId="77777777" w:rsidR="00B0614C" w:rsidRDefault="00B0614C"/>
    <w:p w14:paraId="3F6951FE" w14:textId="77777777" w:rsidR="00B0614C" w:rsidRDefault="00B0614C"/>
    <w:p w14:paraId="00000003" w14:textId="465D62B2" w:rsidR="00634DE9" w:rsidRDefault="00634DE9"/>
    <w:sectPr w:rsidR="00634DE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DE9"/>
    <w:rsid w:val="000417CE"/>
    <w:rsid w:val="000760AE"/>
    <w:rsid w:val="00087905"/>
    <w:rsid w:val="000E63FF"/>
    <w:rsid w:val="001A628C"/>
    <w:rsid w:val="001B67B5"/>
    <w:rsid w:val="001F3F38"/>
    <w:rsid w:val="002B5FBD"/>
    <w:rsid w:val="002D260C"/>
    <w:rsid w:val="002E75A9"/>
    <w:rsid w:val="00302FD4"/>
    <w:rsid w:val="003C1568"/>
    <w:rsid w:val="00424BD4"/>
    <w:rsid w:val="004332C2"/>
    <w:rsid w:val="004449DB"/>
    <w:rsid w:val="00464BC3"/>
    <w:rsid w:val="004F6E35"/>
    <w:rsid w:val="005C6024"/>
    <w:rsid w:val="006074DC"/>
    <w:rsid w:val="00632A2A"/>
    <w:rsid w:val="00634DE9"/>
    <w:rsid w:val="006F4782"/>
    <w:rsid w:val="0072748E"/>
    <w:rsid w:val="00736D3B"/>
    <w:rsid w:val="007D1454"/>
    <w:rsid w:val="008100F3"/>
    <w:rsid w:val="00851939"/>
    <w:rsid w:val="008535C5"/>
    <w:rsid w:val="00881D7E"/>
    <w:rsid w:val="00944831"/>
    <w:rsid w:val="009A7A18"/>
    <w:rsid w:val="00A4321A"/>
    <w:rsid w:val="00A9631B"/>
    <w:rsid w:val="00B0614C"/>
    <w:rsid w:val="00B67A5B"/>
    <w:rsid w:val="00BC2FE4"/>
    <w:rsid w:val="00C91F47"/>
    <w:rsid w:val="00CF2C2E"/>
    <w:rsid w:val="00D11B58"/>
    <w:rsid w:val="00D61021"/>
    <w:rsid w:val="00D80DC9"/>
    <w:rsid w:val="00DD3912"/>
    <w:rsid w:val="00E3771C"/>
    <w:rsid w:val="00EB4516"/>
    <w:rsid w:val="00F061D4"/>
    <w:rsid w:val="00F84F77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ACAB1A"/>
  <w15:docId w15:val="{80BDDAD4-4FB1-5948-BB11-B2E9B15F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Skyler Gin</cp:lastModifiedBy>
  <cp:revision>2</cp:revision>
  <dcterms:created xsi:type="dcterms:W3CDTF">2021-12-13T00:25:00Z</dcterms:created>
  <dcterms:modified xsi:type="dcterms:W3CDTF">2021-12-13T00:25:00Z</dcterms:modified>
</cp:coreProperties>
</file>